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83A" w:rsidRPr="00CC7443" w:rsidRDefault="00621463" w:rsidP="00CC7443">
      <w:pPr>
        <w:jc w:val="center"/>
        <w:rPr>
          <w:rFonts w:ascii="Arial" w:hAnsi="Arial" w:cs="Arial"/>
          <w:b/>
          <w:sz w:val="24"/>
          <w:szCs w:val="24"/>
        </w:rPr>
      </w:pPr>
      <w:r w:rsidRPr="00CC7443">
        <w:rPr>
          <w:rFonts w:ascii="Arial" w:hAnsi="Arial" w:cs="Arial"/>
          <w:b/>
          <w:sz w:val="24"/>
          <w:szCs w:val="24"/>
        </w:rPr>
        <w:t>Short-Term Job Readiness &amp; Transitional Jobs Q&amp;A</w:t>
      </w:r>
    </w:p>
    <w:p w:rsidR="00621463" w:rsidRDefault="00621463">
      <w:pPr>
        <w:rPr>
          <w:rFonts w:ascii="Arial" w:hAnsi="Arial" w:cs="Arial"/>
          <w:sz w:val="24"/>
          <w:szCs w:val="24"/>
        </w:rPr>
      </w:pPr>
    </w:p>
    <w:p w:rsidR="00621463" w:rsidRPr="00621463" w:rsidRDefault="00621463" w:rsidP="00621463">
      <w:pPr>
        <w:rPr>
          <w:rFonts w:ascii="Arial" w:hAnsi="Arial" w:cs="Arial"/>
          <w:sz w:val="24"/>
          <w:szCs w:val="24"/>
        </w:rPr>
      </w:pPr>
      <w:r w:rsidRPr="00621463">
        <w:rPr>
          <w:rFonts w:ascii="Arial" w:hAnsi="Arial" w:cs="Arial"/>
          <w:sz w:val="24"/>
          <w:szCs w:val="24"/>
        </w:rPr>
        <w:t>Not asked, but in the application, you will see that the form skips from question 11 to question 13.  There is no missing 12.  It was a typo.</w:t>
      </w:r>
    </w:p>
    <w:p w:rsidR="00621463" w:rsidRDefault="00621463" w:rsidP="00621463">
      <w:pPr>
        <w:rPr>
          <w:rFonts w:ascii="Arial" w:hAnsi="Arial" w:cs="Arial"/>
          <w:sz w:val="24"/>
          <w:szCs w:val="24"/>
        </w:rPr>
      </w:pPr>
    </w:p>
    <w:p w:rsidR="00621463" w:rsidRDefault="00621463" w:rsidP="00621463">
      <w:pPr>
        <w:rPr>
          <w:rFonts w:ascii="Arial" w:hAnsi="Arial" w:cs="Arial"/>
          <w:sz w:val="24"/>
          <w:szCs w:val="24"/>
        </w:rPr>
      </w:pPr>
      <w:r>
        <w:rPr>
          <w:rFonts w:ascii="Arial" w:hAnsi="Arial" w:cs="Arial"/>
          <w:sz w:val="24"/>
          <w:szCs w:val="24"/>
        </w:rPr>
        <w:t xml:space="preserve">Q: </w:t>
      </w:r>
      <w:r w:rsidRPr="00621463">
        <w:rPr>
          <w:rFonts w:ascii="Arial" w:hAnsi="Arial" w:cs="Arial"/>
          <w:sz w:val="24"/>
          <w:szCs w:val="24"/>
        </w:rPr>
        <w:t>Are there any ineligible costs?</w:t>
      </w:r>
    </w:p>
    <w:p w:rsidR="00621463" w:rsidRDefault="00621463" w:rsidP="00621463">
      <w:pPr>
        <w:rPr>
          <w:rFonts w:ascii="Arial" w:hAnsi="Arial" w:cs="Arial"/>
          <w:sz w:val="24"/>
          <w:szCs w:val="24"/>
        </w:rPr>
      </w:pPr>
      <w:r>
        <w:rPr>
          <w:rFonts w:ascii="Arial" w:hAnsi="Arial" w:cs="Arial"/>
          <w:sz w:val="24"/>
          <w:szCs w:val="24"/>
        </w:rPr>
        <w:t xml:space="preserve">A:  Eligible costs vary by funding stream.  Training providers will be expected to follow federal WIOA guidelines and follow the Uniform Guidance in 2 CFR part 200.  The most relevant issue is likely WIOA’s highly restrictive policy on food.  We know participants get hungry, but if you want to provide them with snacks and/or lunch, it is best to do this with funding NOT associated with this grant.  If any food is to be paid for with grant funds, this should be discussed prior to applying or at the very least, during contracting, as we must determine if what you have in mind is allowable. </w:t>
      </w:r>
    </w:p>
    <w:p w:rsidR="00621463" w:rsidRDefault="00621463" w:rsidP="00621463">
      <w:pPr>
        <w:rPr>
          <w:rFonts w:ascii="Arial" w:hAnsi="Arial" w:cs="Arial"/>
          <w:sz w:val="24"/>
          <w:szCs w:val="24"/>
        </w:rPr>
      </w:pPr>
      <w:r>
        <w:rPr>
          <w:rFonts w:ascii="Arial" w:hAnsi="Arial" w:cs="Arial"/>
          <w:sz w:val="24"/>
          <w:szCs w:val="24"/>
        </w:rPr>
        <w:t>First class air travel is not reimbursable, and there are caps on executive compensation (the difference would have to be paid with non-grant funds).</w:t>
      </w:r>
    </w:p>
    <w:p w:rsidR="00621463" w:rsidRDefault="00621463" w:rsidP="00621463">
      <w:pPr>
        <w:rPr>
          <w:rFonts w:ascii="Arial" w:hAnsi="Arial" w:cs="Arial"/>
          <w:sz w:val="24"/>
          <w:szCs w:val="24"/>
        </w:rPr>
      </w:pPr>
    </w:p>
    <w:p w:rsidR="00621463" w:rsidRDefault="00621463" w:rsidP="00621463">
      <w:pPr>
        <w:rPr>
          <w:rFonts w:ascii="Arial" w:hAnsi="Arial" w:cs="Arial"/>
          <w:sz w:val="24"/>
          <w:szCs w:val="24"/>
        </w:rPr>
      </w:pPr>
      <w:r>
        <w:rPr>
          <w:rFonts w:ascii="Arial" w:hAnsi="Arial" w:cs="Arial"/>
          <w:sz w:val="24"/>
          <w:szCs w:val="24"/>
        </w:rPr>
        <w:t xml:space="preserve">Q: </w:t>
      </w:r>
      <w:r w:rsidR="00A1256D">
        <w:rPr>
          <w:rFonts w:ascii="Arial" w:hAnsi="Arial" w:cs="Arial"/>
          <w:sz w:val="24"/>
          <w:szCs w:val="24"/>
        </w:rPr>
        <w:t>If we run the Job Readiness component separately from the work component, can we start the second Job Readiness cohort while the first is in the work component without being considered Open Entry/Exit?</w:t>
      </w:r>
    </w:p>
    <w:p w:rsidR="00A1256D" w:rsidRDefault="00CC7443" w:rsidP="00621463">
      <w:pPr>
        <w:rPr>
          <w:rFonts w:ascii="Arial" w:hAnsi="Arial" w:cs="Arial"/>
          <w:sz w:val="24"/>
          <w:szCs w:val="24"/>
        </w:rPr>
      </w:pPr>
      <w:r>
        <w:rPr>
          <w:rFonts w:ascii="Arial" w:hAnsi="Arial" w:cs="Arial"/>
          <w:sz w:val="24"/>
          <w:szCs w:val="24"/>
        </w:rPr>
        <w:t>A:  If</w:t>
      </w:r>
      <w:r w:rsidR="00A1256D">
        <w:rPr>
          <w:rFonts w:ascii="Arial" w:hAnsi="Arial" w:cs="Arial"/>
          <w:sz w:val="24"/>
          <w:szCs w:val="24"/>
        </w:rPr>
        <w:t xml:space="preserve"> Job Readiness and work components are do</w:t>
      </w:r>
      <w:r>
        <w:rPr>
          <w:rFonts w:ascii="Arial" w:hAnsi="Arial" w:cs="Arial"/>
          <w:sz w:val="24"/>
          <w:szCs w:val="24"/>
        </w:rPr>
        <w:t>ne sequentially,</w:t>
      </w:r>
      <w:r w:rsidR="00A1256D">
        <w:rPr>
          <w:rFonts w:ascii="Arial" w:hAnsi="Arial" w:cs="Arial"/>
          <w:sz w:val="24"/>
          <w:szCs w:val="24"/>
        </w:rPr>
        <w:t xml:space="preserve"> then there is no inherent problem with Cohort 2 starting Job Readiness as soon as Cohort 1 has cleared that component and the Job Readiness staff is ready to start working with them.  Open Entry/Exit refers more to the practice of allowing new participants to start every week or two and work at their own pace without being part of a cohort.  The problem with Open Entry/Exit for this program is that it is there’s a very short timeframe in which to teach highly </w:t>
      </w:r>
      <w:proofErr w:type="spellStart"/>
      <w:r w:rsidR="00A1256D">
        <w:rPr>
          <w:rFonts w:ascii="Arial" w:hAnsi="Arial" w:cs="Arial"/>
          <w:sz w:val="24"/>
          <w:szCs w:val="24"/>
        </w:rPr>
        <w:t>barriered</w:t>
      </w:r>
      <w:proofErr w:type="spellEnd"/>
      <w:r w:rsidR="00A1256D">
        <w:rPr>
          <w:rFonts w:ascii="Arial" w:hAnsi="Arial" w:cs="Arial"/>
          <w:sz w:val="24"/>
          <w:szCs w:val="24"/>
        </w:rPr>
        <w:t xml:space="preserve"> participants a range of Job Readiness and vocational skills.  Unless you had a teacher for every couple of participants, it is hard to imagine how to give sufficient attention to each participant.  If an agency wants to propose Open Entry/Open Exit, they will need to describe how this will work within the framework of what is being requested.</w:t>
      </w:r>
    </w:p>
    <w:p w:rsidR="00A1256D" w:rsidRDefault="00A1256D" w:rsidP="00621463">
      <w:pPr>
        <w:rPr>
          <w:rFonts w:ascii="Arial" w:hAnsi="Arial" w:cs="Arial"/>
          <w:sz w:val="24"/>
          <w:szCs w:val="24"/>
        </w:rPr>
      </w:pPr>
    </w:p>
    <w:p w:rsidR="00A1256D" w:rsidRDefault="00A1256D" w:rsidP="00621463">
      <w:pPr>
        <w:rPr>
          <w:rFonts w:ascii="Arial" w:hAnsi="Arial" w:cs="Arial"/>
          <w:sz w:val="24"/>
          <w:szCs w:val="24"/>
        </w:rPr>
      </w:pPr>
      <w:r>
        <w:rPr>
          <w:rFonts w:ascii="Arial" w:hAnsi="Arial" w:cs="Arial"/>
          <w:sz w:val="24"/>
          <w:szCs w:val="24"/>
        </w:rPr>
        <w:t>Q: What is available for Supportive Services?</w:t>
      </w:r>
    </w:p>
    <w:p w:rsidR="00A1256D" w:rsidRDefault="00A1256D" w:rsidP="00621463">
      <w:pPr>
        <w:rPr>
          <w:rFonts w:ascii="Arial" w:hAnsi="Arial" w:cs="Arial"/>
          <w:sz w:val="24"/>
          <w:szCs w:val="24"/>
        </w:rPr>
      </w:pPr>
      <w:r>
        <w:rPr>
          <w:rFonts w:ascii="Arial" w:hAnsi="Arial" w:cs="Arial"/>
          <w:sz w:val="24"/>
          <w:szCs w:val="24"/>
        </w:rPr>
        <w:t xml:space="preserve">A:  ETR will provide Supportive Services. The “menu” and maximum amounts for Supportive Services varies by funding stream.  </w:t>
      </w:r>
      <w:r w:rsidR="00CC7443">
        <w:rPr>
          <w:rFonts w:ascii="Arial" w:hAnsi="Arial" w:cs="Arial"/>
          <w:sz w:val="24"/>
          <w:szCs w:val="24"/>
        </w:rPr>
        <w:t xml:space="preserve">ETR management can override Supportive Services limits/restrictions if the participant’s case manager submits a justified request.  ETR is committed to ensuring that participants get the support they need to complete their programs and can also make referrals to partner agencies for services we cannot provide directly.  </w:t>
      </w:r>
    </w:p>
    <w:p w:rsidR="00CC7443" w:rsidRDefault="00CC7443" w:rsidP="00621463">
      <w:pPr>
        <w:rPr>
          <w:rFonts w:ascii="Arial" w:hAnsi="Arial" w:cs="Arial"/>
          <w:sz w:val="24"/>
          <w:szCs w:val="24"/>
        </w:rPr>
      </w:pPr>
      <w:r>
        <w:rPr>
          <w:rFonts w:ascii="Arial" w:hAnsi="Arial" w:cs="Arial"/>
          <w:sz w:val="24"/>
          <w:szCs w:val="24"/>
        </w:rPr>
        <w:br/>
        <w:t xml:space="preserve">Q: Will ETR provide Case Managers?  </w:t>
      </w:r>
    </w:p>
    <w:p w:rsidR="00CC7443" w:rsidRPr="00621463" w:rsidRDefault="00CC7443" w:rsidP="00621463">
      <w:pPr>
        <w:rPr>
          <w:rFonts w:ascii="Arial" w:hAnsi="Arial" w:cs="Arial"/>
          <w:sz w:val="24"/>
          <w:szCs w:val="24"/>
        </w:rPr>
      </w:pPr>
      <w:r>
        <w:rPr>
          <w:rFonts w:ascii="Arial" w:hAnsi="Arial" w:cs="Arial"/>
          <w:sz w:val="24"/>
          <w:szCs w:val="24"/>
        </w:rPr>
        <w:t xml:space="preserve">A: Yes.  Each participant will have an ETR Case Manager.  It is recommended that training providers also have someone serving this function on their end, so that ETR and Agency staff can communicate regularly regarding the progress of participants and </w:t>
      </w:r>
      <w:proofErr w:type="gramStart"/>
      <w:r>
        <w:rPr>
          <w:rFonts w:ascii="Arial" w:hAnsi="Arial" w:cs="Arial"/>
          <w:sz w:val="24"/>
          <w:szCs w:val="24"/>
        </w:rPr>
        <w:t>any</w:t>
      </w:r>
      <w:proofErr w:type="gramEnd"/>
      <w:r>
        <w:rPr>
          <w:rFonts w:ascii="Arial" w:hAnsi="Arial" w:cs="Arial"/>
          <w:sz w:val="24"/>
          <w:szCs w:val="24"/>
        </w:rPr>
        <w:t xml:space="preserve"> issues that arise.</w:t>
      </w:r>
    </w:p>
    <w:p w:rsidR="00621463" w:rsidRDefault="00621463" w:rsidP="00621463">
      <w:pPr>
        <w:pStyle w:val="ListParagraph"/>
        <w:ind w:left="1440"/>
        <w:rPr>
          <w:rFonts w:ascii="Arial" w:hAnsi="Arial" w:cs="Arial"/>
          <w:sz w:val="24"/>
          <w:szCs w:val="24"/>
        </w:rPr>
      </w:pPr>
    </w:p>
    <w:p w:rsidR="00621463" w:rsidRPr="00621463" w:rsidRDefault="00621463" w:rsidP="00621463">
      <w:pPr>
        <w:pStyle w:val="ListParagraph"/>
        <w:ind w:left="1440"/>
        <w:rPr>
          <w:rFonts w:ascii="Arial" w:hAnsi="Arial" w:cs="Arial"/>
          <w:sz w:val="24"/>
          <w:szCs w:val="24"/>
        </w:rPr>
      </w:pPr>
    </w:p>
    <w:p w:rsidR="00621463" w:rsidRDefault="00621463"/>
    <w:p w:rsidR="00621463" w:rsidRDefault="00621463"/>
    <w:sectPr w:rsidR="00621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41E06"/>
    <w:multiLevelType w:val="hybridMultilevel"/>
    <w:tmpl w:val="F2787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63"/>
    <w:rsid w:val="0055183A"/>
    <w:rsid w:val="00621463"/>
    <w:rsid w:val="00A1256D"/>
    <w:rsid w:val="00CC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14B8"/>
  <w15:chartTrackingRefBased/>
  <w15:docId w15:val="{1C2A0DF8-4517-408B-9BD9-43261FF9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E2EF0C5A8C34EBAE972A04E5874D2" ma:contentTypeVersion="11" ma:contentTypeDescription="Create a new document." ma:contentTypeScope="" ma:versionID="b39d8cd972d66d695f53479e3006fdcb">
  <xsd:schema xmlns:xsd="http://www.w3.org/2001/XMLSchema" xmlns:xs="http://www.w3.org/2001/XMLSchema" xmlns:p="http://schemas.microsoft.com/office/2006/metadata/properties" xmlns:ns3="2660c930-a68f-4853-b445-cede466e144b" xmlns:ns4="b86dd6a7-a49a-46b1-8b6b-e67950c93535" targetNamespace="http://schemas.microsoft.com/office/2006/metadata/properties" ma:root="true" ma:fieldsID="479f67e51d7701efa459edbe61d91109" ns3:_="" ns4:_="">
    <xsd:import namespace="2660c930-a68f-4853-b445-cede466e144b"/>
    <xsd:import namespace="b86dd6a7-a49a-46b1-8b6b-e67950c935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0c930-a68f-4853-b445-cede466e1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6dd6a7-a49a-46b1-8b6b-e67950c935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13E0E3-525B-4497-A629-DE003EABE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0c930-a68f-4853-b445-cede466e144b"/>
    <ds:schemaRef ds:uri="b86dd6a7-a49a-46b1-8b6b-e67950c93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9B1DB-F801-4F4B-80F7-744549DE43FB}">
  <ds:schemaRefs>
    <ds:schemaRef ds:uri="http://schemas.microsoft.com/sharepoint/v3/contenttype/forms"/>
  </ds:schemaRefs>
</ds:datastoreItem>
</file>

<file path=customXml/itemProps3.xml><?xml version="1.0" encoding="utf-8"?>
<ds:datastoreItem xmlns:ds="http://schemas.openxmlformats.org/officeDocument/2006/customXml" ds:itemID="{7A9E1293-71DA-47A9-BE9E-EFA92939AA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Briefer</dc:creator>
  <cp:keywords/>
  <dc:description/>
  <cp:lastModifiedBy>Karen Briefer</cp:lastModifiedBy>
  <cp:revision>1</cp:revision>
  <dcterms:created xsi:type="dcterms:W3CDTF">2021-08-24T21:15:00Z</dcterms:created>
  <dcterms:modified xsi:type="dcterms:W3CDTF">2021-08-24T21:45:00Z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0x010100563E2EF0C5A8C34EBAE972A04E5874D2</vt:lpwstr>
  </property>
</Properties>
</file>